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945E48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907088">
        <w:rPr>
          <w:bCs/>
          <w:noProof w:val="0"/>
          <w:sz w:val="24"/>
          <w:szCs w:val="24"/>
        </w:rPr>
        <w:t>13156</w:t>
      </w:r>
    </w:p>
    <w:p w14:paraId="11776FA6" w14:textId="15CAE265"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95E19C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D0C83">
        <w:rPr>
          <w:rFonts w:cs="Arial"/>
          <w:b/>
          <w:bCs/>
          <w:sz w:val="24"/>
          <w:lang w:eastAsia="ja-JP"/>
        </w:rPr>
        <w:t>7.3.2.1.2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78EDC2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C5906">
        <w:rPr>
          <w:rFonts w:ascii="Arial" w:hAnsi="Arial" w:cs="Arial"/>
          <w:b/>
          <w:bCs/>
          <w:sz w:val="24"/>
        </w:rPr>
        <w:t xml:space="preserve">Remaining Details on UL </w:t>
      </w:r>
      <w:r w:rsidR="003503CB">
        <w:rPr>
          <w:rFonts w:ascii="Arial" w:hAnsi="Arial" w:cs="Arial"/>
          <w:b/>
          <w:bCs/>
          <w:sz w:val="24"/>
        </w:rPr>
        <w:t>User Data Transmission S</w:t>
      </w:r>
      <w:r w:rsidR="009C5906">
        <w:rPr>
          <w:rFonts w:ascii="Arial" w:hAnsi="Arial" w:cs="Arial"/>
          <w:b/>
          <w:bCs/>
          <w:sz w:val="24"/>
        </w:rPr>
        <w:t xml:space="preserve">witching in </w:t>
      </w:r>
      <w:proofErr w:type="spellStart"/>
      <w:r w:rsidR="009C5906">
        <w:rPr>
          <w:rFonts w:ascii="Arial" w:hAnsi="Arial" w:cs="Arial"/>
          <w:b/>
          <w:bCs/>
          <w:sz w:val="24"/>
        </w:rPr>
        <w:t>eMBB</w:t>
      </w:r>
      <w:proofErr w:type="spellEnd"/>
    </w:p>
    <w:p w14:paraId="1F147C23" w14:textId="09599AC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AD0C83" w:rsidRPr="00AD0C83">
        <w:rPr>
          <w:rFonts w:ascii="Arial" w:hAnsi="Arial" w:cs="Arial"/>
          <w:b/>
          <w:bCs/>
          <w:sz w:val="24"/>
        </w:rPr>
        <w:t>LTE_feMob</w:t>
      </w:r>
      <w:proofErr w:type="spellEnd"/>
      <w:r w:rsidR="00AD0C83" w:rsidRPr="00AD0C83">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AD0C83">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03036E48" w:rsidR="00A209D6" w:rsidRDefault="00A209D6" w:rsidP="00A209D6">
      <w:pPr>
        <w:pStyle w:val="Heading1"/>
      </w:pPr>
      <w:r w:rsidRPr="006E13D1">
        <w:t>1</w:t>
      </w:r>
      <w:r w:rsidRPr="006E13D1">
        <w:tab/>
      </w:r>
      <w:r>
        <w:t>Introduction</w:t>
      </w:r>
    </w:p>
    <w:p w14:paraId="1FE603E2" w14:textId="2EB8D0A2" w:rsidR="00511742" w:rsidRPr="00511742" w:rsidRDefault="00511742" w:rsidP="00511742">
      <w:r>
        <w:t xml:space="preserve">In the last RAN2 meeting 107, the following has been agreed with respect to UL data transmission </w:t>
      </w:r>
      <w:r>
        <w:fldChar w:fldCharType="begin"/>
      </w:r>
      <w:r>
        <w:instrText xml:space="preserve"> REF _Ref20303791 \r \h </w:instrText>
      </w:r>
      <w:r>
        <w:fldChar w:fldCharType="separate"/>
      </w:r>
      <w:r>
        <w:t>[1]</w:t>
      </w:r>
      <w:r>
        <w:fldChar w:fldCharType="end"/>
      </w:r>
      <w:r w:rsidR="00AD0C83">
        <w:t>:</w:t>
      </w:r>
    </w:p>
    <w:tbl>
      <w:tblPr>
        <w:tblStyle w:val="TableGrid"/>
        <w:tblW w:w="0" w:type="auto"/>
        <w:tblLook w:val="04A0" w:firstRow="1" w:lastRow="0" w:firstColumn="1" w:lastColumn="0" w:noHBand="0" w:noVBand="1"/>
      </w:tblPr>
      <w:tblGrid>
        <w:gridCol w:w="9631"/>
      </w:tblGrid>
      <w:tr w:rsidR="00511742" w14:paraId="370D5BBD" w14:textId="77777777" w:rsidTr="0037768E">
        <w:tc>
          <w:tcPr>
            <w:tcW w:w="9631" w:type="dxa"/>
          </w:tcPr>
          <w:p w14:paraId="16899866" w14:textId="77777777" w:rsidR="00511742" w:rsidRDefault="00511742" w:rsidP="0037768E">
            <w:r>
              <w:t>Agreements on RUDI/DAPS</w:t>
            </w:r>
          </w:p>
          <w:p w14:paraId="37A83EB9" w14:textId="77777777" w:rsidR="00511742" w:rsidRDefault="00511742" w:rsidP="0037768E">
            <w:r>
              <w:t>Reconfirm the following understanding on DAPS</w:t>
            </w:r>
          </w:p>
          <w:p w14:paraId="4C7B057D" w14:textId="77777777" w:rsidR="00511742" w:rsidRDefault="00511742" w:rsidP="0037768E">
            <w:r>
              <w:t>1</w:t>
            </w:r>
            <w:r>
              <w:tab/>
              <w:t>For DAPS DL transmission/reception operation:</w:t>
            </w:r>
          </w:p>
          <w:p w14:paraId="268E74CA" w14:textId="77777777" w:rsidR="00511742" w:rsidRDefault="00511742" w:rsidP="0037768E">
            <w:r>
              <w:t>•</w:t>
            </w:r>
            <w:r>
              <w:tab/>
              <w:t xml:space="preserve">The source </w:t>
            </w:r>
            <w:proofErr w:type="spellStart"/>
            <w:r>
              <w:t>eNB</w:t>
            </w:r>
            <w:proofErr w:type="spellEnd"/>
            <w:r>
              <w:t xml:space="preserve"> and the target </w:t>
            </w:r>
            <w:proofErr w:type="spellStart"/>
            <w:r>
              <w:t>eNB</w:t>
            </w:r>
            <w:proofErr w:type="spellEnd"/>
            <w:r>
              <w:t xml:space="preserve"> perform header compression, ciphering and add PDCP header separately;</w:t>
            </w:r>
          </w:p>
          <w:p w14:paraId="42231DD5" w14:textId="77777777" w:rsidR="00511742" w:rsidRDefault="00511742" w:rsidP="0037768E">
            <w:r>
              <w:t>•</w:t>
            </w:r>
            <w:r>
              <w:tab/>
              <w:t xml:space="preserve">UE performs deciphering and header decompression for the DL PDCP SDUs received from the source </w:t>
            </w:r>
            <w:proofErr w:type="spellStart"/>
            <w:r>
              <w:t>eNB</w:t>
            </w:r>
            <w:proofErr w:type="spellEnd"/>
            <w:r>
              <w:t xml:space="preserve"> and target </w:t>
            </w:r>
            <w:proofErr w:type="spellStart"/>
            <w:r>
              <w:t>eNB</w:t>
            </w:r>
            <w:proofErr w:type="spellEnd"/>
            <w:r>
              <w:t xml:space="preserve"> separately; stores those PDCP SDUs in the common PDCP reception buffer and performs PDCP reordering; and then delivers the PDCP SDUs to upper layers in ascending order.</w:t>
            </w:r>
          </w:p>
          <w:p w14:paraId="583C53E9" w14:textId="77777777" w:rsidR="00511742" w:rsidRDefault="00511742" w:rsidP="0037768E">
            <w:r>
              <w:t>2</w:t>
            </w:r>
            <w:r>
              <w:tab/>
              <w:t xml:space="preserve">single UL new PUSCH data transmission as baseline and UE switches UL data transmission (new and unacknowledged PDCP SDUs) to target </w:t>
            </w:r>
            <w:proofErr w:type="spellStart"/>
            <w:r>
              <w:t>gNB</w:t>
            </w:r>
            <w:proofErr w:type="spellEnd"/>
            <w:r>
              <w:t xml:space="preserve"> upon reception of the first UL grant for data transmission from the target </w:t>
            </w:r>
            <w:proofErr w:type="spellStart"/>
            <w:r>
              <w:t>gNB</w:t>
            </w:r>
            <w:proofErr w:type="spellEnd"/>
            <w:r>
              <w:t xml:space="preserve"> after RA procedure towards the target </w:t>
            </w:r>
            <w:proofErr w:type="spellStart"/>
            <w:r>
              <w:t>gNB</w:t>
            </w:r>
            <w:proofErr w:type="spellEnd"/>
            <w:r>
              <w:t xml:space="preserve"> is successfully completed.</w:t>
            </w:r>
          </w:p>
          <w:p w14:paraId="1D6C0230" w14:textId="77777777" w:rsidR="00511742" w:rsidRDefault="00511742" w:rsidP="0037768E">
            <w:r>
              <w:t>3</w:t>
            </w:r>
            <w:r>
              <w:tab/>
              <w:t xml:space="preserve">As described in single UL new data transmission solution: For the DL data transmission, the UE continues to provide HARQ ACK/NACK, other CSI kind of feedback, ARQ ACK/NACK to the source </w:t>
            </w:r>
            <w:proofErr w:type="spellStart"/>
            <w:r>
              <w:t>eNB</w:t>
            </w:r>
            <w:proofErr w:type="spellEnd"/>
            <w:r>
              <w:t xml:space="preserve"> before release of the source cell connection.</w:t>
            </w:r>
          </w:p>
          <w:p w14:paraId="539CBE88" w14:textId="77777777" w:rsidR="00511742" w:rsidRDefault="00511742" w:rsidP="0037768E">
            <w:r>
              <w:t>FFS whether UL HARQ retransmissions continue</w:t>
            </w:r>
          </w:p>
          <w:p w14:paraId="3F46521B" w14:textId="77777777" w:rsidR="00511742" w:rsidRDefault="00511742" w:rsidP="0037768E">
            <w:r>
              <w:t xml:space="preserve">FFS whether </w:t>
            </w:r>
            <w:proofErr w:type="spellStart"/>
            <w:r>
              <w:t>RoHC</w:t>
            </w:r>
            <w:proofErr w:type="spellEnd"/>
            <w:r>
              <w:t xml:space="preserve"> feedback is needed</w:t>
            </w:r>
          </w:p>
          <w:p w14:paraId="07C8A277" w14:textId="77777777" w:rsidR="00511742" w:rsidRDefault="00511742" w:rsidP="0037768E">
            <w:r>
              <w:t>4</w:t>
            </w:r>
            <w:r>
              <w:tab/>
              <w:t>We do not restrict UP specifications without clear reason (e.g. BSR, PHR, etc.)</w:t>
            </w:r>
          </w:p>
        </w:tc>
      </w:tr>
    </w:tbl>
    <w:p w14:paraId="72BC5EBD" w14:textId="69E3FAC1" w:rsidR="00511742" w:rsidRDefault="00AD0C83" w:rsidP="009C5906">
      <w:r>
        <w:br/>
      </w:r>
      <w:r w:rsidR="00511742">
        <w:t xml:space="preserve">In this contribution, we address </w:t>
      </w:r>
      <w:r w:rsidR="00433FB4">
        <w:t xml:space="preserve">the remaining issues </w:t>
      </w:r>
      <w:r w:rsidR="00511742">
        <w:t>related to</w:t>
      </w:r>
      <w:r w:rsidR="00433FB4">
        <w:t xml:space="preserve"> UL switch </w:t>
      </w:r>
      <w:r w:rsidR="001415E0">
        <w:t>in</w:t>
      </w:r>
      <w:r w:rsidR="00433FB4">
        <w:t xml:space="preserve"> </w:t>
      </w:r>
      <w:proofErr w:type="spellStart"/>
      <w:r w:rsidR="00433FB4">
        <w:t>eMBB</w:t>
      </w:r>
      <w:proofErr w:type="spellEnd"/>
      <w:r w:rsidR="00433FB4">
        <w:t xml:space="preserve"> solution.</w:t>
      </w:r>
    </w:p>
    <w:p w14:paraId="2BBFF540" w14:textId="22786062" w:rsidR="00A209D6" w:rsidRPr="006E13D1" w:rsidRDefault="00A209D6" w:rsidP="00A209D6">
      <w:pPr>
        <w:pStyle w:val="Heading1"/>
      </w:pPr>
      <w:r w:rsidRPr="006E13D1">
        <w:t>2</w:t>
      </w:r>
      <w:r w:rsidRPr="006E13D1">
        <w:tab/>
      </w:r>
      <w:r w:rsidR="009F65C7">
        <w:t>Discussion</w:t>
      </w:r>
    </w:p>
    <w:p w14:paraId="4DF5D656" w14:textId="326ED3D0" w:rsidR="00783FD3" w:rsidRDefault="001349C1" w:rsidP="009F65C7">
      <w:r>
        <w:t>According to RAN2 agreements,</w:t>
      </w:r>
      <w:r w:rsidR="009F65C7">
        <w:t xml:space="preserve"> the UE switches UL data transmission to target node upon the reception of the first UL grant after random access towards the target node is successfully completed</w:t>
      </w:r>
      <w:r w:rsidR="00783FD3">
        <w:t>. In case of CFRA, the random access is comp</w:t>
      </w:r>
      <w:r w:rsidR="00AC6DAB">
        <w:t>l</w:t>
      </w:r>
      <w:r w:rsidR="00783FD3">
        <w:t xml:space="preserve">eted when UE </w:t>
      </w:r>
      <w:r w:rsidR="00CB7373">
        <w:t>receiv</w:t>
      </w:r>
      <w:r w:rsidR="00783FD3">
        <w:t>es</w:t>
      </w:r>
      <w:r w:rsidR="00CB7373">
        <w:t xml:space="preserve"> successfully RAR </w:t>
      </w:r>
      <w:r w:rsidR="00021387">
        <w:t>and</w:t>
      </w:r>
      <w:r w:rsidR="00CB7373">
        <w:t xml:space="preserve"> </w:t>
      </w:r>
      <w:r w:rsidR="00E60E43">
        <w:t>PDCC</w:t>
      </w:r>
      <w:r w:rsidR="00213847">
        <w:t>H transmission addressed to UE C-RNTI</w:t>
      </w:r>
      <w:r w:rsidR="00CB7373">
        <w:t xml:space="preserve"> in case of CBRA</w:t>
      </w:r>
      <w:r w:rsidR="009F65C7">
        <w:t>.</w:t>
      </w:r>
      <w:r w:rsidR="00783FD3">
        <w:t xml:space="preserve"> Th</w:t>
      </w:r>
      <w:r w:rsidR="00805392">
        <w:t>is</w:t>
      </w:r>
      <w:r w:rsidR="00783FD3">
        <w:t xml:space="preserve"> distinction between CFRA and CBRA case can be made clearer in the agreements.</w:t>
      </w:r>
    </w:p>
    <w:p w14:paraId="22BFFA38" w14:textId="60C098FE" w:rsidR="00783FD3" w:rsidRPr="00783FD3" w:rsidRDefault="00783FD3" w:rsidP="009F65C7">
      <w:pPr>
        <w:rPr>
          <w:b/>
        </w:rPr>
      </w:pPr>
      <w:r w:rsidRPr="00783FD3">
        <w:rPr>
          <w:b/>
        </w:rPr>
        <w:t xml:space="preserve">Proposal 1: UE switches UL data transmission to target node upon receiving the first UL grant after successful reception of RAR in case of CFRA </w:t>
      </w:r>
      <w:r w:rsidR="00021387">
        <w:rPr>
          <w:b/>
        </w:rPr>
        <w:t xml:space="preserve">and </w:t>
      </w:r>
      <w:r w:rsidR="00B76A35">
        <w:rPr>
          <w:b/>
        </w:rPr>
        <w:t>PDCCH transmission addressed to UE C-RNTI</w:t>
      </w:r>
      <w:r w:rsidRPr="00783FD3">
        <w:rPr>
          <w:b/>
        </w:rPr>
        <w:t xml:space="preserve"> in case of CBRA.</w:t>
      </w:r>
    </w:p>
    <w:p w14:paraId="4F547731" w14:textId="286CDECD" w:rsidR="00A209D6" w:rsidRDefault="009F65C7" w:rsidP="009F65C7">
      <w:r>
        <w:t>After switching UL data transmission to target</w:t>
      </w:r>
      <w:r w:rsidR="00A10797">
        <w:t xml:space="preserve"> cell</w:t>
      </w:r>
      <w:r>
        <w:t xml:space="preserve">, the UE continues to provide HARQ ACK/NACK, other CSI feedback and </w:t>
      </w:r>
      <w:r w:rsidR="00AD0C83">
        <w:t xml:space="preserve">RLC </w:t>
      </w:r>
      <w:r>
        <w:t xml:space="preserve">ARQ ACK/NACK feedback </w:t>
      </w:r>
      <w:r w:rsidR="00A10797">
        <w:t>for source cell</w:t>
      </w:r>
      <w:r>
        <w:t xml:space="preserve">. </w:t>
      </w:r>
      <w:r w:rsidR="00F71A7E">
        <w:t xml:space="preserve">Thus, </w:t>
      </w:r>
      <w:r>
        <w:t xml:space="preserve">the effort to </w:t>
      </w:r>
      <w:r w:rsidR="00F71A7E">
        <w:t>continue with</w:t>
      </w:r>
      <w:r>
        <w:t xml:space="preserve"> </w:t>
      </w:r>
      <w:proofErr w:type="spellStart"/>
      <w:r>
        <w:t>RoHC</w:t>
      </w:r>
      <w:proofErr w:type="spellEnd"/>
      <w:r>
        <w:t xml:space="preserve"> feedback</w:t>
      </w:r>
      <w:r w:rsidR="00F71A7E">
        <w:t xml:space="preserve"> as </w:t>
      </w:r>
      <w:r w:rsidR="00F71A7E">
        <w:lastRenderedPageBreak/>
        <w:t>well</w:t>
      </w:r>
      <w:r>
        <w:t xml:space="preserve"> becomes minimal. Thus, we propose t</w:t>
      </w:r>
      <w:r w:rsidR="00532630">
        <w:t xml:space="preserve">hat UE </w:t>
      </w:r>
      <w:r>
        <w:t>continue</w:t>
      </w:r>
      <w:r w:rsidR="00532630">
        <w:t>s to provide</w:t>
      </w:r>
      <w:r>
        <w:t xml:space="preserve"> </w:t>
      </w:r>
      <w:proofErr w:type="spellStart"/>
      <w:r>
        <w:t>RoHC</w:t>
      </w:r>
      <w:proofErr w:type="spellEnd"/>
      <w:r>
        <w:t xml:space="preserve"> feedback for DL data after the switch of UL data transmission.</w:t>
      </w:r>
    </w:p>
    <w:p w14:paraId="61C8A843" w14:textId="6F3BA8A2" w:rsidR="00F82106" w:rsidRPr="009D7C99" w:rsidRDefault="3D62BA59" w:rsidP="3D62BA59">
      <w:pPr>
        <w:rPr>
          <w:b/>
          <w:bCs/>
        </w:rPr>
      </w:pPr>
      <w:r w:rsidRPr="3D62BA59">
        <w:rPr>
          <w:b/>
          <w:bCs/>
        </w:rPr>
        <w:t xml:space="preserve">Proposal 2: UE continues to provide </w:t>
      </w:r>
      <w:proofErr w:type="spellStart"/>
      <w:r w:rsidRPr="3D62BA59">
        <w:rPr>
          <w:b/>
          <w:bCs/>
        </w:rPr>
        <w:t>RoHC</w:t>
      </w:r>
      <w:proofErr w:type="spellEnd"/>
      <w:r w:rsidRPr="3D62BA59">
        <w:rPr>
          <w:b/>
          <w:bCs/>
        </w:rPr>
        <w:t xml:space="preserve"> feedback for DL data after the switch of UL data transmission</w:t>
      </w:r>
      <w:r w:rsidR="00AD0C83">
        <w:rPr>
          <w:b/>
          <w:bCs/>
        </w:rPr>
        <w:t xml:space="preserve"> as the additional burden can be already negligible</w:t>
      </w:r>
      <w:r w:rsidRPr="3D62BA59">
        <w:rPr>
          <w:b/>
          <w:bCs/>
        </w:rPr>
        <w:t>.</w:t>
      </w:r>
      <w:commentRangeStart w:id="0"/>
      <w:commentRangeEnd w:id="0"/>
    </w:p>
    <w:p w14:paraId="3C2E09B9" w14:textId="24A0B1BD" w:rsidR="00F82106" w:rsidRDefault="005C2F69" w:rsidP="009F65C7">
      <w:r>
        <w:t xml:space="preserve">After switching the UL data transmission to the target cell, the UE sends the new UL PDCP PDU and PDCP PDUs for which it has not received an ACK from source cell. Continuing with UL HARQ re-transmissions to the source cell after the switch will increase the </w:t>
      </w:r>
      <w:r w:rsidR="005C2A70">
        <w:t xml:space="preserve">implementation </w:t>
      </w:r>
      <w:r>
        <w:t>complexity as the UE needs to maintain two ciphering/integrity protection and ROHC layers in DL as well as in UL.</w:t>
      </w:r>
    </w:p>
    <w:p w14:paraId="73D8CCF3" w14:textId="018657D8" w:rsidR="00C44DE3" w:rsidRDefault="00C44DE3" w:rsidP="009F65C7">
      <w:pPr>
        <w:rPr>
          <w:b/>
        </w:rPr>
      </w:pPr>
      <w:r w:rsidRPr="00C44DE3">
        <w:rPr>
          <w:b/>
        </w:rPr>
        <w:t xml:space="preserve">Proposal </w:t>
      </w:r>
      <w:r w:rsidR="009D7C99">
        <w:rPr>
          <w:b/>
        </w:rPr>
        <w:t>3</w:t>
      </w:r>
      <w:r w:rsidRPr="00C44DE3">
        <w:rPr>
          <w:b/>
        </w:rPr>
        <w:t>: After switching the UL data transmission to the target cell, the UE does not continue with UL HARQ re-transmissions</w:t>
      </w:r>
      <w:r w:rsidR="009D7C99">
        <w:rPr>
          <w:b/>
        </w:rPr>
        <w:t xml:space="preserve"> towards the source cell.</w:t>
      </w:r>
    </w:p>
    <w:p w14:paraId="3D199E32" w14:textId="46C8CE7B" w:rsidR="00F30229" w:rsidRDefault="00150EED" w:rsidP="009F65C7">
      <w:r>
        <w:t xml:space="preserve">The time instant when the UE </w:t>
      </w:r>
      <w:r w:rsidR="00381FFB">
        <w:t xml:space="preserve">receives the first UL grant from the target cell after random access completion and </w:t>
      </w:r>
      <w:r>
        <w:t>performs UL switching is not known to the source cell. As such, it may happen that the source cell keeps on providing UL grants</w:t>
      </w:r>
      <w:r w:rsidR="00E778CF">
        <w:t xml:space="preserve"> for user data transmission</w:t>
      </w:r>
      <w:r>
        <w:t xml:space="preserve"> although the UE has switched its UL data transmission to the </w:t>
      </w:r>
      <w:r w:rsidR="00CB4598">
        <w:t>target</w:t>
      </w:r>
      <w:r>
        <w:t xml:space="preserve">. </w:t>
      </w:r>
      <w:r w:rsidR="00381FFB">
        <w:t xml:space="preserve">There are two </w:t>
      </w:r>
      <w:r w:rsidR="00CB7373">
        <w:t xml:space="preserve">options to deal with this issue </w:t>
      </w:r>
      <w:r w:rsidR="00381FFB">
        <w:t xml:space="preserve">and they </w:t>
      </w:r>
      <w:r w:rsidR="00CB7373">
        <w:t>are summarized in the following</w:t>
      </w:r>
      <w:r w:rsidR="00AD0C83">
        <w:t xml:space="preserve"> subparagraphs</w:t>
      </w:r>
      <w:r w:rsidR="00CB7373">
        <w:t>:</w:t>
      </w:r>
    </w:p>
    <w:p w14:paraId="3F3A07A5" w14:textId="73AC1851" w:rsidR="00ED188D" w:rsidRPr="006B3CC1" w:rsidRDefault="00CB7373" w:rsidP="006B3CC1">
      <w:pPr>
        <w:pStyle w:val="ListParagraph"/>
        <w:numPr>
          <w:ilvl w:val="0"/>
          <w:numId w:val="9"/>
        </w:numPr>
        <w:rPr>
          <w:b/>
        </w:rPr>
      </w:pPr>
      <w:r>
        <w:t xml:space="preserve">Option 1: UE ignores the UL grants </w:t>
      </w:r>
      <w:r w:rsidR="00E778CF">
        <w:t xml:space="preserve">for user data transmission </w:t>
      </w:r>
      <w:r>
        <w:t xml:space="preserve">received from the source </w:t>
      </w:r>
      <w:r w:rsidR="00F43C10">
        <w:t xml:space="preserve">cell </w:t>
      </w:r>
      <w:r>
        <w:t>after switching UL data transmission to the target cell.</w:t>
      </w:r>
      <w:r w:rsidR="00CB4598">
        <w:t xml:space="preserve"> Herein, the source cell can stop sending UL grants</w:t>
      </w:r>
      <w:r w:rsidR="00465A09">
        <w:t xml:space="preserve"> (and possibly</w:t>
      </w:r>
      <w:r w:rsidR="00AF3292">
        <w:t xml:space="preserve"> any</w:t>
      </w:r>
      <w:r w:rsidR="00FD0C2E">
        <w:t xml:space="preserve"> DL</w:t>
      </w:r>
      <w:r w:rsidR="00AF3292">
        <w:t xml:space="preserve"> radio communication with the UE</w:t>
      </w:r>
      <w:r w:rsidR="00465A09">
        <w:t>)</w:t>
      </w:r>
      <w:r w:rsidR="00CB4598">
        <w:t xml:space="preserve"> when it receives “HO Success” indication (</w:t>
      </w:r>
      <w:r w:rsidR="00C548B6">
        <w:t xml:space="preserve">agreed for CHO but not for </w:t>
      </w:r>
      <w:proofErr w:type="spellStart"/>
      <w:r w:rsidR="00C548B6">
        <w:t>eMBB</w:t>
      </w:r>
      <w:proofErr w:type="spellEnd"/>
      <w:r w:rsidR="00CB4598">
        <w:t xml:space="preserve">) from the target cell. </w:t>
      </w:r>
      <w:r w:rsidR="00C548B6">
        <w:t xml:space="preserve">The </w:t>
      </w:r>
      <w:r w:rsidR="000452FB">
        <w:t xml:space="preserve">details of </w:t>
      </w:r>
      <w:r w:rsidR="00C548B6">
        <w:t xml:space="preserve">the “HO Success” indication can be </w:t>
      </w:r>
      <w:r w:rsidR="00C727E8">
        <w:t>discussed in RAN3.</w:t>
      </w:r>
      <w:r w:rsidR="00C548B6">
        <w:t>;. Thus, the time duration in which the source cell is uncertain with respect to the UE UL switch is the delay needed to receive “Handover Success”</w:t>
      </w:r>
      <w:r w:rsidR="005239EC">
        <w:t xml:space="preserve"> </w:t>
      </w:r>
      <w:r w:rsidR="003D62F2">
        <w:t xml:space="preserve">from the target cell </w:t>
      </w:r>
      <w:r w:rsidR="005239EC">
        <w:t xml:space="preserve">over the </w:t>
      </w:r>
      <w:proofErr w:type="spellStart"/>
      <w:r w:rsidR="005239EC">
        <w:t>Xn</w:t>
      </w:r>
      <w:proofErr w:type="spellEnd"/>
      <w:r w:rsidR="005239EC">
        <w:t>/X2 interface</w:t>
      </w:r>
      <w:r w:rsidR="00A56A04">
        <w:t>.</w:t>
      </w:r>
    </w:p>
    <w:p w14:paraId="249C0172" w14:textId="77777777" w:rsidR="006B3CC1" w:rsidRPr="006B3CC1" w:rsidRDefault="006B3CC1" w:rsidP="006B3CC1">
      <w:pPr>
        <w:pStyle w:val="ListParagraph"/>
        <w:rPr>
          <w:b/>
        </w:rPr>
      </w:pPr>
    </w:p>
    <w:p w14:paraId="5AA825D6" w14:textId="57B1245D" w:rsidR="00ED188D" w:rsidRDefault="00ED188D" w:rsidP="00CB7373">
      <w:pPr>
        <w:pStyle w:val="ListParagraph"/>
        <w:numPr>
          <w:ilvl w:val="0"/>
          <w:numId w:val="8"/>
        </w:numPr>
      </w:pPr>
      <w:r>
        <w:t>Option 2: UE uses the received UL grant to send a kind of “BYE” message to the source cell.</w:t>
      </w:r>
      <w:r w:rsidR="006B3CC1">
        <w:t xml:space="preserve"> When receiving the “BYE” message from the UE, the source stops sending UL gran</w:t>
      </w:r>
      <w:r w:rsidR="00A23065">
        <w:t>t</w:t>
      </w:r>
      <w:r w:rsidR="00AD0C83">
        <w:t>s</w:t>
      </w:r>
      <w:r w:rsidR="00A23065">
        <w:t xml:space="preserve"> </w:t>
      </w:r>
      <w:r w:rsidR="001432DE">
        <w:t xml:space="preserve">for user data transmission </w:t>
      </w:r>
      <w:r w:rsidR="00A23065">
        <w:t>to the UE.</w:t>
      </w:r>
      <w:r w:rsidR="00507FE7">
        <w:t xml:space="preserve"> The “BY</w:t>
      </w:r>
      <w:r w:rsidR="008A641F">
        <w:t>E</w:t>
      </w:r>
      <w:r w:rsidR="00507FE7">
        <w:t>”</w:t>
      </w:r>
      <w:r w:rsidR="008A641F">
        <w:t xml:space="preserve"> message can be sent by the UE only when it receives an UL grant for user data transmission from the source cell, for instance.</w:t>
      </w:r>
    </w:p>
    <w:p w14:paraId="206EC570" w14:textId="5E0147DB" w:rsidR="00ED188D" w:rsidRDefault="006B3CC1" w:rsidP="00ED188D">
      <w:r>
        <w:t>Co</w:t>
      </w:r>
      <w:r w:rsidR="00ED188D">
        <w:t xml:space="preserve">nsidering that the time duration when the source cell is uncertain about the UE UL switch is </w:t>
      </w:r>
      <w:r w:rsidR="000F57E0">
        <w:t>short</w:t>
      </w:r>
      <w:r w:rsidR="00ED188D">
        <w:t xml:space="preserve"> and the reliability of the “BYE” message (not agreed for CHO) is questionable at this stage of handover execution, we prefer to adopt the simple option 1</w:t>
      </w:r>
      <w:r w:rsidR="00FE69D1">
        <w:t xml:space="preserve"> </w:t>
      </w:r>
      <w:r w:rsidR="0053670F">
        <w:t xml:space="preserve">for Rel. 16 However, if </w:t>
      </w:r>
      <w:r w:rsidR="00FE69D1">
        <w:t xml:space="preserve">introducing </w:t>
      </w:r>
      <w:r w:rsidR="00A745EA">
        <w:t xml:space="preserve">option 2 would not have much impact on the specifications then </w:t>
      </w:r>
      <w:r w:rsidR="006E0D4B">
        <w:t xml:space="preserve">it could be potentially </w:t>
      </w:r>
      <w:r w:rsidR="00442686">
        <w:t>re-considered.</w:t>
      </w:r>
    </w:p>
    <w:p w14:paraId="2F93B8F7" w14:textId="1D2160FE" w:rsidR="00F43C10" w:rsidRDefault="00ED188D">
      <w:pPr>
        <w:rPr>
          <w:b/>
          <w:bCs/>
        </w:rPr>
      </w:pPr>
      <w:r w:rsidRPr="00ED188D">
        <w:rPr>
          <w:b/>
        </w:rPr>
        <w:t xml:space="preserve">Proposal 4: </w:t>
      </w:r>
      <w:r w:rsidR="00421AC2">
        <w:rPr>
          <w:b/>
        </w:rPr>
        <w:t xml:space="preserve">RAN2 to </w:t>
      </w:r>
      <w:r w:rsidR="007703F9">
        <w:rPr>
          <w:b/>
        </w:rPr>
        <w:t xml:space="preserve">decide whether </w:t>
      </w:r>
      <w:r w:rsidR="00F27819">
        <w:rPr>
          <w:b/>
        </w:rPr>
        <w:t>a</w:t>
      </w:r>
      <w:r w:rsidR="00AD0F7B">
        <w:rPr>
          <w:b/>
        </w:rPr>
        <w:t>n indication is needed from the UE to the source cell</w:t>
      </w:r>
      <w:r w:rsidR="007B2A69">
        <w:rPr>
          <w:b/>
        </w:rPr>
        <w:t xml:space="preserve"> when it switches UL user data transmission</w:t>
      </w:r>
      <w:r w:rsidR="00E304B1">
        <w:rPr>
          <w:b/>
        </w:rPr>
        <w:t xml:space="preserve"> such that the source cell stops </w:t>
      </w:r>
      <w:r w:rsidR="00CD0A1B">
        <w:rPr>
          <w:b/>
        </w:rPr>
        <w:t xml:space="preserve">sending </w:t>
      </w:r>
      <w:r w:rsidR="00E304B1">
        <w:rPr>
          <w:b/>
        </w:rPr>
        <w:t>UL gran</w:t>
      </w:r>
      <w:r w:rsidR="00741F7D">
        <w:rPr>
          <w:b/>
        </w:rPr>
        <w:t>t</w:t>
      </w:r>
      <w:r w:rsidR="00E304B1">
        <w:rPr>
          <w:b/>
        </w:rPr>
        <w:t>s for user data</w:t>
      </w:r>
      <w:r w:rsidR="00F16342">
        <w:rPr>
          <w:b/>
        </w:rPr>
        <w:t>.</w:t>
      </w:r>
    </w:p>
    <w:p w14:paraId="5FF2457F" w14:textId="0B087D4C" w:rsidR="00A209D6" w:rsidRPr="006E13D1" w:rsidRDefault="00E22DA8" w:rsidP="00A209D6">
      <w:pPr>
        <w:pStyle w:val="Heading1"/>
      </w:pPr>
      <w:r>
        <w:t>3</w:t>
      </w:r>
      <w:r w:rsidR="00A209D6" w:rsidRPr="006E13D1">
        <w:tab/>
      </w:r>
      <w:r w:rsidR="008C3057">
        <w:t>Conclusion</w:t>
      </w:r>
    </w:p>
    <w:p w14:paraId="6C60FFDC" w14:textId="3B817975" w:rsidR="00A209D6" w:rsidRDefault="00E22DA8" w:rsidP="00A209D6">
      <w:r>
        <w:t xml:space="preserve">In this contribution, we have discussed the remaining details of the UL user data switch in </w:t>
      </w:r>
      <w:proofErr w:type="spellStart"/>
      <w:r>
        <w:t>eMBB</w:t>
      </w:r>
      <w:proofErr w:type="spellEnd"/>
      <w:r>
        <w:t>. The proposals are summarized in the following.</w:t>
      </w:r>
    </w:p>
    <w:p w14:paraId="0EA873E2" w14:textId="2492BEBA" w:rsidR="000F57E0" w:rsidRPr="00783FD3" w:rsidRDefault="000F57E0" w:rsidP="000F57E0">
      <w:pPr>
        <w:rPr>
          <w:b/>
        </w:rPr>
      </w:pPr>
      <w:r w:rsidRPr="000F57E0">
        <w:rPr>
          <w:b/>
        </w:rPr>
        <w:t xml:space="preserve"> </w:t>
      </w:r>
      <w:r w:rsidRPr="00783FD3">
        <w:rPr>
          <w:b/>
        </w:rPr>
        <w:t xml:space="preserve">Proposal 1: UE switches UL data transmission to target node upon receiving the first UL grant after successful reception of RAR in case of CFRA </w:t>
      </w:r>
      <w:r>
        <w:rPr>
          <w:b/>
        </w:rPr>
        <w:t>and PDCCH transmission addressed to UE C-RNTI</w:t>
      </w:r>
      <w:r w:rsidRPr="00783FD3">
        <w:rPr>
          <w:b/>
        </w:rPr>
        <w:t xml:space="preserve"> in case of CBRA.</w:t>
      </w:r>
    </w:p>
    <w:p w14:paraId="37406961" w14:textId="77777777" w:rsidR="000F57E0" w:rsidRPr="009D7C99" w:rsidRDefault="000F57E0" w:rsidP="000F57E0">
      <w:pPr>
        <w:rPr>
          <w:b/>
          <w:bCs/>
        </w:rPr>
      </w:pPr>
      <w:r w:rsidRPr="3D62BA59">
        <w:rPr>
          <w:b/>
          <w:bCs/>
        </w:rPr>
        <w:t xml:space="preserve">Proposal 2: UE continues to provide </w:t>
      </w:r>
      <w:proofErr w:type="spellStart"/>
      <w:r w:rsidRPr="3D62BA59">
        <w:rPr>
          <w:b/>
          <w:bCs/>
        </w:rPr>
        <w:t>RoHC</w:t>
      </w:r>
      <w:proofErr w:type="spellEnd"/>
      <w:r w:rsidRPr="3D62BA59">
        <w:rPr>
          <w:b/>
          <w:bCs/>
        </w:rPr>
        <w:t xml:space="preserve"> feedback for DL data after the switch of UL data transmission</w:t>
      </w:r>
      <w:r>
        <w:rPr>
          <w:b/>
          <w:bCs/>
        </w:rPr>
        <w:t xml:space="preserve"> as the additional burden can be already negligible</w:t>
      </w:r>
      <w:r w:rsidRPr="3D62BA59">
        <w:rPr>
          <w:b/>
          <w:bCs/>
        </w:rPr>
        <w:t>.</w:t>
      </w:r>
    </w:p>
    <w:p w14:paraId="79F53BDC" w14:textId="77777777" w:rsidR="000F57E0" w:rsidRDefault="000F57E0" w:rsidP="000F57E0">
      <w:pPr>
        <w:rPr>
          <w:b/>
        </w:rPr>
      </w:pPr>
      <w:r w:rsidRPr="00C44DE3">
        <w:rPr>
          <w:b/>
        </w:rPr>
        <w:t xml:space="preserve">Proposal </w:t>
      </w:r>
      <w:r>
        <w:rPr>
          <w:b/>
        </w:rPr>
        <w:t>3</w:t>
      </w:r>
      <w:r w:rsidRPr="00C44DE3">
        <w:rPr>
          <w:b/>
        </w:rPr>
        <w:t>: After switching the UL data transmission to the target cell, the UE does not continue with UL HARQ re-transmissions</w:t>
      </w:r>
      <w:r>
        <w:rPr>
          <w:b/>
        </w:rPr>
        <w:t xml:space="preserve"> towards the source cell.</w:t>
      </w:r>
    </w:p>
    <w:p w14:paraId="653EED19" w14:textId="4E31EE74" w:rsidR="00A209D6" w:rsidRPr="00907088" w:rsidRDefault="004A31BA" w:rsidP="00A209D6">
      <w:pPr>
        <w:rPr>
          <w:b/>
        </w:rPr>
      </w:pPr>
      <w:r w:rsidRPr="00ED188D">
        <w:rPr>
          <w:b/>
        </w:rPr>
        <w:t xml:space="preserve">Proposal 4: </w:t>
      </w:r>
      <w:r>
        <w:rPr>
          <w:b/>
        </w:rPr>
        <w:t>RAN2 to decide whether an indication is needed from the UE to the source cell when it switches UL user data transmission such that the source cell stops sending UL grants for user data</w:t>
      </w:r>
      <w:r w:rsidR="000677E5">
        <w:rPr>
          <w:b/>
        </w:rPr>
        <w:t>.</w:t>
      </w:r>
      <w:bookmarkStart w:id="1" w:name="_GoBack"/>
      <w:bookmarkEnd w:id="1"/>
    </w:p>
    <w:p w14:paraId="37833691" w14:textId="6740BBE7" w:rsidR="00511742" w:rsidRDefault="00E22DA8" w:rsidP="00511742">
      <w:pPr>
        <w:pStyle w:val="Heading1"/>
      </w:pPr>
      <w:r>
        <w:t>4</w:t>
      </w:r>
      <w:r w:rsidR="00511742" w:rsidRPr="006E13D1">
        <w:tab/>
      </w:r>
      <w:r w:rsidR="00511742">
        <w:t>References</w:t>
      </w:r>
    </w:p>
    <w:p w14:paraId="3FD13C2E" w14:textId="39FD4883" w:rsidR="00511742" w:rsidRDefault="00511742" w:rsidP="00511742">
      <w:pPr>
        <w:numPr>
          <w:ilvl w:val="0"/>
          <w:numId w:val="4"/>
        </w:numPr>
        <w:overflowPunct w:val="0"/>
        <w:autoSpaceDE w:val="0"/>
        <w:autoSpaceDN w:val="0"/>
        <w:adjustRightInd w:val="0"/>
        <w:textAlignment w:val="baseline"/>
      </w:pPr>
      <w:bookmarkStart w:id="2" w:name="_Ref20147482"/>
      <w:bookmarkStart w:id="3" w:name="_Ref20303791"/>
      <w:r>
        <w:t>R</w:t>
      </w:r>
      <w:bookmarkEnd w:id="2"/>
      <w:r>
        <w:t xml:space="preserve">2-1911518, </w:t>
      </w:r>
      <w:r w:rsidRPr="00907088">
        <w:rPr>
          <w:i/>
        </w:rPr>
        <w:t>Report from break-out session on Rel-16 NR and LTE Mobility Enhancements WI, Session Chair (Nokia)</w:t>
      </w:r>
      <w:r>
        <w:t>, 3GPP TSG-RAN WG2 Meeting #107, Prague, Czech Republic, 26 – 30 August 2019.</w:t>
      </w:r>
      <w:bookmarkEnd w:id="3"/>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2FB46" w14:textId="77777777" w:rsidR="002B1375" w:rsidRDefault="002B1375">
      <w:r>
        <w:separator/>
      </w:r>
    </w:p>
  </w:endnote>
  <w:endnote w:type="continuationSeparator" w:id="0">
    <w:p w14:paraId="07FB4FE7" w14:textId="77777777" w:rsidR="002B1375" w:rsidRDefault="002B1375">
      <w:r>
        <w:continuationSeparator/>
      </w:r>
    </w:p>
  </w:endnote>
  <w:endnote w:type="continuationNotice" w:id="1">
    <w:p w14:paraId="42A84953" w14:textId="77777777" w:rsidR="002B1375" w:rsidRDefault="002B13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26490" w14:textId="77777777" w:rsidR="002B1375" w:rsidRDefault="002B1375">
      <w:r>
        <w:separator/>
      </w:r>
    </w:p>
  </w:footnote>
  <w:footnote w:type="continuationSeparator" w:id="0">
    <w:p w14:paraId="0A1060E3" w14:textId="77777777" w:rsidR="002B1375" w:rsidRDefault="002B1375">
      <w:r>
        <w:continuationSeparator/>
      </w:r>
    </w:p>
  </w:footnote>
  <w:footnote w:type="continuationNotice" w:id="1">
    <w:p w14:paraId="06489EA9" w14:textId="77777777" w:rsidR="002B1375" w:rsidRDefault="002B13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F022018"/>
    <w:multiLevelType w:val="hybridMultilevel"/>
    <w:tmpl w:val="D0F4AC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7626DD2"/>
    <w:multiLevelType w:val="hybridMultilevel"/>
    <w:tmpl w:val="B9FC7FE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7"/>
  </w:num>
  <w:num w:numId="8">
    <w:abstractNumId w:val="2"/>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1387"/>
    <w:rsid w:val="00023C40"/>
    <w:rsid w:val="00033397"/>
    <w:rsid w:val="00035C7F"/>
    <w:rsid w:val="00040095"/>
    <w:rsid w:val="000452FB"/>
    <w:rsid w:val="000677E5"/>
    <w:rsid w:val="00073C9C"/>
    <w:rsid w:val="00074541"/>
    <w:rsid w:val="00080512"/>
    <w:rsid w:val="00090468"/>
    <w:rsid w:val="00094568"/>
    <w:rsid w:val="000B7BCF"/>
    <w:rsid w:val="000C522B"/>
    <w:rsid w:val="000D58AB"/>
    <w:rsid w:val="000F57E0"/>
    <w:rsid w:val="00112F1A"/>
    <w:rsid w:val="001140AC"/>
    <w:rsid w:val="001349C1"/>
    <w:rsid w:val="001415E0"/>
    <w:rsid w:val="001432DE"/>
    <w:rsid w:val="00145075"/>
    <w:rsid w:val="00150EED"/>
    <w:rsid w:val="001741A0"/>
    <w:rsid w:val="00175FA0"/>
    <w:rsid w:val="00194CD0"/>
    <w:rsid w:val="001B49C9"/>
    <w:rsid w:val="001C23F4"/>
    <w:rsid w:val="001C4F79"/>
    <w:rsid w:val="001F168B"/>
    <w:rsid w:val="001F7831"/>
    <w:rsid w:val="00204045"/>
    <w:rsid w:val="0020712B"/>
    <w:rsid w:val="00213847"/>
    <w:rsid w:val="002162AE"/>
    <w:rsid w:val="0022606D"/>
    <w:rsid w:val="00231728"/>
    <w:rsid w:val="00241E8E"/>
    <w:rsid w:val="00247B73"/>
    <w:rsid w:val="00250404"/>
    <w:rsid w:val="002610D8"/>
    <w:rsid w:val="002747EC"/>
    <w:rsid w:val="002855BF"/>
    <w:rsid w:val="002B1375"/>
    <w:rsid w:val="002B2F0B"/>
    <w:rsid w:val="002F0D22"/>
    <w:rsid w:val="002F78E6"/>
    <w:rsid w:val="003172DC"/>
    <w:rsid w:val="00325AE3"/>
    <w:rsid w:val="00326069"/>
    <w:rsid w:val="003503CB"/>
    <w:rsid w:val="0035462D"/>
    <w:rsid w:val="00364B41"/>
    <w:rsid w:val="00366A23"/>
    <w:rsid w:val="00367A4C"/>
    <w:rsid w:val="0037768E"/>
    <w:rsid w:val="00381FFB"/>
    <w:rsid w:val="00383096"/>
    <w:rsid w:val="003A41EF"/>
    <w:rsid w:val="003B40AD"/>
    <w:rsid w:val="003C4E37"/>
    <w:rsid w:val="003D62F2"/>
    <w:rsid w:val="003E16BE"/>
    <w:rsid w:val="003E75F7"/>
    <w:rsid w:val="003F4E28"/>
    <w:rsid w:val="004006E8"/>
    <w:rsid w:val="00401855"/>
    <w:rsid w:val="00421AC2"/>
    <w:rsid w:val="00433FB4"/>
    <w:rsid w:val="00442686"/>
    <w:rsid w:val="00465587"/>
    <w:rsid w:val="00465A09"/>
    <w:rsid w:val="00477455"/>
    <w:rsid w:val="004A1F7B"/>
    <w:rsid w:val="004A31BA"/>
    <w:rsid w:val="004C44D2"/>
    <w:rsid w:val="004D3578"/>
    <w:rsid w:val="004D380D"/>
    <w:rsid w:val="004E213A"/>
    <w:rsid w:val="00503171"/>
    <w:rsid w:val="00506C28"/>
    <w:rsid w:val="00507FE7"/>
    <w:rsid w:val="00511742"/>
    <w:rsid w:val="005239EC"/>
    <w:rsid w:val="00532630"/>
    <w:rsid w:val="00534DA0"/>
    <w:rsid w:val="0053670F"/>
    <w:rsid w:val="00543E6C"/>
    <w:rsid w:val="00565087"/>
    <w:rsid w:val="0056573F"/>
    <w:rsid w:val="00586C43"/>
    <w:rsid w:val="005B1D32"/>
    <w:rsid w:val="005B6955"/>
    <w:rsid w:val="005C2A70"/>
    <w:rsid w:val="005C2F69"/>
    <w:rsid w:val="005D778B"/>
    <w:rsid w:val="00611566"/>
    <w:rsid w:val="00630BBE"/>
    <w:rsid w:val="00646D99"/>
    <w:rsid w:val="00656910"/>
    <w:rsid w:val="006574C0"/>
    <w:rsid w:val="00696E0A"/>
    <w:rsid w:val="006B3CC1"/>
    <w:rsid w:val="006C66D8"/>
    <w:rsid w:val="006D1E24"/>
    <w:rsid w:val="006E0D4B"/>
    <w:rsid w:val="006E1417"/>
    <w:rsid w:val="006F6A2C"/>
    <w:rsid w:val="007047FD"/>
    <w:rsid w:val="007069DC"/>
    <w:rsid w:val="00710201"/>
    <w:rsid w:val="0072073A"/>
    <w:rsid w:val="007342B5"/>
    <w:rsid w:val="00734A5B"/>
    <w:rsid w:val="00741F7D"/>
    <w:rsid w:val="00744E76"/>
    <w:rsid w:val="00757D40"/>
    <w:rsid w:val="007662B5"/>
    <w:rsid w:val="007703F9"/>
    <w:rsid w:val="00781F0F"/>
    <w:rsid w:val="00783FD3"/>
    <w:rsid w:val="0078727C"/>
    <w:rsid w:val="0079049D"/>
    <w:rsid w:val="00793DC5"/>
    <w:rsid w:val="007B18D8"/>
    <w:rsid w:val="007B2A69"/>
    <w:rsid w:val="007C095F"/>
    <w:rsid w:val="007C2DD0"/>
    <w:rsid w:val="007F2E08"/>
    <w:rsid w:val="008028A4"/>
    <w:rsid w:val="00805392"/>
    <w:rsid w:val="00807707"/>
    <w:rsid w:val="00813245"/>
    <w:rsid w:val="00840DE0"/>
    <w:rsid w:val="00860A8F"/>
    <w:rsid w:val="0086354A"/>
    <w:rsid w:val="008768CA"/>
    <w:rsid w:val="00877EF9"/>
    <w:rsid w:val="00880559"/>
    <w:rsid w:val="008A641F"/>
    <w:rsid w:val="008B5306"/>
    <w:rsid w:val="008C3057"/>
    <w:rsid w:val="008C538A"/>
    <w:rsid w:val="008D2E4D"/>
    <w:rsid w:val="008D453A"/>
    <w:rsid w:val="008E4684"/>
    <w:rsid w:val="008F396F"/>
    <w:rsid w:val="0090271F"/>
    <w:rsid w:val="00902DB9"/>
    <w:rsid w:val="0090466A"/>
    <w:rsid w:val="00907088"/>
    <w:rsid w:val="00912C93"/>
    <w:rsid w:val="00923655"/>
    <w:rsid w:val="0092579B"/>
    <w:rsid w:val="00936071"/>
    <w:rsid w:val="00937898"/>
    <w:rsid w:val="00940212"/>
    <w:rsid w:val="00942EC2"/>
    <w:rsid w:val="0096184A"/>
    <w:rsid w:val="00961B32"/>
    <w:rsid w:val="00962509"/>
    <w:rsid w:val="00970DB3"/>
    <w:rsid w:val="00974BB0"/>
    <w:rsid w:val="00975BCD"/>
    <w:rsid w:val="009A0AF3"/>
    <w:rsid w:val="009B07CD"/>
    <w:rsid w:val="009C19E9"/>
    <w:rsid w:val="009C5906"/>
    <w:rsid w:val="009D4024"/>
    <w:rsid w:val="009D74A6"/>
    <w:rsid w:val="009D7C99"/>
    <w:rsid w:val="009F65C7"/>
    <w:rsid w:val="00A10797"/>
    <w:rsid w:val="00A10F02"/>
    <w:rsid w:val="00A204CA"/>
    <w:rsid w:val="00A209D6"/>
    <w:rsid w:val="00A23065"/>
    <w:rsid w:val="00A53724"/>
    <w:rsid w:val="00A54B2B"/>
    <w:rsid w:val="00A56A04"/>
    <w:rsid w:val="00A745EA"/>
    <w:rsid w:val="00A748FD"/>
    <w:rsid w:val="00A74DEC"/>
    <w:rsid w:val="00A82346"/>
    <w:rsid w:val="00A9671C"/>
    <w:rsid w:val="00AA1553"/>
    <w:rsid w:val="00AC6DAB"/>
    <w:rsid w:val="00AC6EBF"/>
    <w:rsid w:val="00AD0C83"/>
    <w:rsid w:val="00AD0F7B"/>
    <w:rsid w:val="00AF3292"/>
    <w:rsid w:val="00B05380"/>
    <w:rsid w:val="00B05962"/>
    <w:rsid w:val="00B15449"/>
    <w:rsid w:val="00B16C2F"/>
    <w:rsid w:val="00B27303"/>
    <w:rsid w:val="00B27EA6"/>
    <w:rsid w:val="00B46564"/>
    <w:rsid w:val="00B47FD1"/>
    <w:rsid w:val="00B516BB"/>
    <w:rsid w:val="00B54EFB"/>
    <w:rsid w:val="00B76A35"/>
    <w:rsid w:val="00B84DB2"/>
    <w:rsid w:val="00B9170F"/>
    <w:rsid w:val="00BB7E09"/>
    <w:rsid w:val="00BC3555"/>
    <w:rsid w:val="00C12B51"/>
    <w:rsid w:val="00C24650"/>
    <w:rsid w:val="00C25465"/>
    <w:rsid w:val="00C33079"/>
    <w:rsid w:val="00C44DE3"/>
    <w:rsid w:val="00C50558"/>
    <w:rsid w:val="00C548B6"/>
    <w:rsid w:val="00C727E8"/>
    <w:rsid w:val="00C83A13"/>
    <w:rsid w:val="00C9068C"/>
    <w:rsid w:val="00C92967"/>
    <w:rsid w:val="00CA3D0C"/>
    <w:rsid w:val="00CA654B"/>
    <w:rsid w:val="00CB4598"/>
    <w:rsid w:val="00CB5557"/>
    <w:rsid w:val="00CB72B8"/>
    <w:rsid w:val="00CB7373"/>
    <w:rsid w:val="00CD0A1B"/>
    <w:rsid w:val="00CD4C7B"/>
    <w:rsid w:val="00CF6F2A"/>
    <w:rsid w:val="00D33BE3"/>
    <w:rsid w:val="00D3792D"/>
    <w:rsid w:val="00D55E47"/>
    <w:rsid w:val="00D62E19"/>
    <w:rsid w:val="00D66CF2"/>
    <w:rsid w:val="00D67CD1"/>
    <w:rsid w:val="00D738D6"/>
    <w:rsid w:val="00D77A3B"/>
    <w:rsid w:val="00D80795"/>
    <w:rsid w:val="00D854BE"/>
    <w:rsid w:val="00D87E00"/>
    <w:rsid w:val="00D9134D"/>
    <w:rsid w:val="00D96D11"/>
    <w:rsid w:val="00DA0E9F"/>
    <w:rsid w:val="00DA7A03"/>
    <w:rsid w:val="00DB0DB8"/>
    <w:rsid w:val="00DB1818"/>
    <w:rsid w:val="00DC309B"/>
    <w:rsid w:val="00DC4DA2"/>
    <w:rsid w:val="00DC5261"/>
    <w:rsid w:val="00DC60AD"/>
    <w:rsid w:val="00DE25D2"/>
    <w:rsid w:val="00DF7D20"/>
    <w:rsid w:val="00E22DA8"/>
    <w:rsid w:val="00E27D31"/>
    <w:rsid w:val="00E304B1"/>
    <w:rsid w:val="00E46C08"/>
    <w:rsid w:val="00E471CF"/>
    <w:rsid w:val="00E60E43"/>
    <w:rsid w:val="00E62835"/>
    <w:rsid w:val="00E77645"/>
    <w:rsid w:val="00E778CF"/>
    <w:rsid w:val="00E83697"/>
    <w:rsid w:val="00E9039B"/>
    <w:rsid w:val="00E90E07"/>
    <w:rsid w:val="00EA66C9"/>
    <w:rsid w:val="00EC4A25"/>
    <w:rsid w:val="00ED188D"/>
    <w:rsid w:val="00F025A2"/>
    <w:rsid w:val="00F036E9"/>
    <w:rsid w:val="00F07388"/>
    <w:rsid w:val="00F16342"/>
    <w:rsid w:val="00F2026E"/>
    <w:rsid w:val="00F2210A"/>
    <w:rsid w:val="00F27819"/>
    <w:rsid w:val="00F30229"/>
    <w:rsid w:val="00F31D60"/>
    <w:rsid w:val="00F37743"/>
    <w:rsid w:val="00F43C10"/>
    <w:rsid w:val="00F45B79"/>
    <w:rsid w:val="00F54A3D"/>
    <w:rsid w:val="00F54CB0"/>
    <w:rsid w:val="00F579CD"/>
    <w:rsid w:val="00F653B8"/>
    <w:rsid w:val="00F65F46"/>
    <w:rsid w:val="00F71A7E"/>
    <w:rsid w:val="00F71B89"/>
    <w:rsid w:val="00F7353C"/>
    <w:rsid w:val="00F76F8F"/>
    <w:rsid w:val="00F82106"/>
    <w:rsid w:val="00F941DF"/>
    <w:rsid w:val="00FA03BC"/>
    <w:rsid w:val="00FA1266"/>
    <w:rsid w:val="00FB2536"/>
    <w:rsid w:val="00FB36FA"/>
    <w:rsid w:val="00FC1192"/>
    <w:rsid w:val="00FD0C2E"/>
    <w:rsid w:val="00FE251B"/>
    <w:rsid w:val="00FE69D1"/>
    <w:rsid w:val="00FF1203"/>
    <w:rsid w:val="3D62BA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9744DE5"/>
  <w15:chartTrackingRefBased/>
  <w15:docId w15:val="{919075EB-9B6C-47A7-99EE-65E2F209E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1174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B7373"/>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5B6955"/>
    <w:rPr>
      <w:b/>
      <w:bCs/>
    </w:rPr>
  </w:style>
  <w:style w:type="character" w:customStyle="1" w:styleId="CommentSubjectChar">
    <w:name w:val="Comment Subject Char"/>
    <w:basedOn w:val="CommentTextChar"/>
    <w:link w:val="CommentSubject"/>
    <w:rsid w:val="005B695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5AIRPNAIUNRU-859666464-5583</_dlc_DocId>
    <_dlc_DocIdUrl xmlns="71c5aaf6-e6ce-465b-b873-5148d2a4c105">
      <Url>https://nokia.sharepoint.com/sites/c5g/e2earch/_layouts/15/DocIdRedir.aspx?ID=5AIRPNAIUNRU-859666464-5583</Url>
      <Description>5AIRPNAIUNRU-859666464-5583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purl.org/dc/dcmitype/"/>
    <ds:schemaRef ds:uri="http://purl.org/dc/terms/"/>
    <ds:schemaRef ds:uri="83f22d2f-d16e-4be6-ad4f-29fa0b067c3c"/>
    <ds:schemaRef ds:uri="http://schemas.microsoft.com/office/2006/documentManagement/types"/>
    <ds:schemaRef ds:uri="http://schemas.microsoft.com/office/2006/metadata/properties"/>
    <ds:schemaRef ds:uri="71c5aaf6-e6ce-465b-b873-5148d2a4c105"/>
    <ds:schemaRef ds:uri="http://purl.org/dc/elements/1.1/"/>
    <ds:schemaRef ds:uri="http://schemas.openxmlformats.org/package/2006/metadata/core-properties"/>
    <ds:schemaRef ds:uri="a3840f4f-04be-43d1-b2ef-6ff1382503c7"/>
    <ds:schemaRef ds:uri="http://schemas.microsoft.com/office/infopath/2007/PartnerControls"/>
    <ds:schemaRef ds:uri="3b34c8f0-1ef5-4d1e-bb66-517ce7fe7356"/>
    <ds:schemaRef ds:uri="http://www.w3.org/XML/1998/namespac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2</Pages>
  <Words>1083</Words>
  <Characters>5398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keywords/>
  <cp:lastModifiedBy>Nokia</cp:lastModifiedBy>
  <cp:revision>118</cp:revision>
  <dcterms:created xsi:type="dcterms:W3CDTF">2019-09-25T18:19:00Z</dcterms:created>
  <dcterms:modified xsi:type="dcterms:W3CDTF">2019-10-03T12:51:00Z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14def068-ed8a-407a-9bac-5a0465187d74</vt:lpwstr>
  </property>
</Properties>
</file>